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Objections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Hearsay: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  Out of court statement by a person other than the witness to prove truth of the matter. [401]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Speculation:  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Witness is guessing or offering opinion that has little or no basis in fact. [313]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Leading: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  Question on direct calling for yes or no. [301]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Inventing Facts:  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Calling for information not in the affidavit. [701]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Relevance: 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 Evidence that does not tend to prove or disprove an important disputed fact. [201]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Other crimes: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 Impeach with felony or crime of moral turpitude (stealing) [203]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Asked and Answered:  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[312]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Beyond the Scope of Examination: 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[305]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Beyond the Scope of the Witness:  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No personal knowledge [302]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  <w:rtl w:val="0"/>
        </w:rPr>
        <w:t xml:space="preserve">Important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rtl w:val="0"/>
        </w:rPr>
        <w:t xml:space="preserve">406: Statements In Learned Treatises </w:t>
      </w:r>
      <w:r w:rsidDel="00000000" w:rsidR="00000000" w:rsidRPr="00000000">
        <w:rPr>
          <w:sz w:val="40"/>
          <w:szCs w:val="40"/>
          <w:rtl w:val="0"/>
        </w:rPr>
        <w:t xml:space="preserve">[40-41].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This allows for an expert witness to testify based on a publication, if they, or another expert in their feild regards it as “authoritative”.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rtl w:val="0"/>
        </w:rPr>
        <w:t xml:space="preserve">602: Redaction of Document </w:t>
      </w:r>
      <w:r w:rsidDel="00000000" w:rsidR="00000000" w:rsidRPr="00000000">
        <w:rPr>
          <w:sz w:val="40"/>
          <w:szCs w:val="40"/>
          <w:rtl w:val="0"/>
        </w:rPr>
        <w:t xml:space="preserve">[44-45].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